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F42A3">
      <w:pPr>
        <w:pStyle w:val="2"/>
        <w:keepNext/>
        <w:keepLines/>
        <w:pageBreakBefore w:val="0"/>
        <w:widowControl/>
        <w:kinsoku w:val="0"/>
        <w:wordWrap/>
        <w:overflowPunct/>
        <w:topLinePunct w:val="0"/>
        <w:autoSpaceDE w:val="0"/>
        <w:autoSpaceDN w:val="0"/>
        <w:bidi w:val="0"/>
        <w:adjustRightInd w:val="0"/>
        <w:snapToGrid w:val="0"/>
        <w:spacing w:line="360" w:lineRule="auto"/>
        <w:textAlignment w:val="baseline"/>
        <w:rPr>
          <w:rFonts w:hint="default"/>
          <w:lang w:val="en-US" w:eastAsia="zh-CN"/>
        </w:rPr>
      </w:pPr>
      <w:r>
        <w:rPr>
          <w:rFonts w:hint="eastAsia"/>
          <w:lang w:val="en-US" w:eastAsia="zh-CN"/>
        </w:rPr>
        <w:t>服务内容</w:t>
      </w:r>
    </w:p>
    <w:p w14:paraId="41A81258">
      <w:pPr>
        <w:pStyle w:val="6"/>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jc w:val="both"/>
        <w:textAlignment w:val="baseline"/>
        <w:rPr>
          <w:rFonts w:hint="eastAsia" w:ascii="黑体" w:hAnsi="黑体" w:eastAsia="黑体" w:cs="黑体"/>
          <w:b/>
          <w:bCs/>
          <w:kern w:val="0"/>
          <w:sz w:val="32"/>
          <w:szCs w:val="32"/>
          <w:highlight w:val="none"/>
          <w:lang w:val="en-US" w:eastAsia="zh-CN"/>
        </w:rPr>
      </w:pPr>
      <w:r>
        <w:rPr>
          <w:rFonts w:hint="eastAsia" w:ascii="黑体" w:hAnsi="黑体" w:eastAsia="黑体" w:cs="黑体"/>
          <w:b/>
          <w:bCs/>
          <w:kern w:val="0"/>
          <w:sz w:val="32"/>
          <w:szCs w:val="32"/>
          <w:highlight w:val="none"/>
          <w:lang w:val="en-US" w:eastAsia="zh-CN"/>
        </w:rPr>
        <w:t>系统维护保养服务基本要求</w:t>
      </w:r>
    </w:p>
    <w:p w14:paraId="27FCD71C">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1.1本项目须按要求开展</w:t>
      </w:r>
      <w:r>
        <w:rPr>
          <w:rFonts w:hint="eastAsia" w:ascii="仿宋_GB2312" w:hAnsi="仿宋_GB2312" w:cs="仿宋_GB2312"/>
          <w:kern w:val="0"/>
          <w:sz w:val="32"/>
          <w:szCs w:val="32"/>
          <w:highlight w:val="none"/>
          <w:lang w:val="zh-CN" w:eastAsia="zh-CN"/>
        </w:rPr>
        <w:t>对应的日、周、月、季度、年度、临时性专项性</w:t>
      </w:r>
      <w:r>
        <w:rPr>
          <w:rFonts w:hint="eastAsia" w:ascii="仿宋_GB2312" w:hAnsi="仿宋_GB2312" w:eastAsia="仿宋_GB2312" w:cs="仿宋_GB2312"/>
          <w:kern w:val="0"/>
          <w:sz w:val="32"/>
          <w:szCs w:val="32"/>
          <w:highlight w:val="none"/>
          <w:lang w:val="zh-CN" w:eastAsia="zh-CN"/>
        </w:rPr>
        <w:t>维保服务。</w:t>
      </w:r>
      <w:r>
        <w:rPr>
          <w:rFonts w:hint="eastAsia" w:ascii="仿宋_GB2312" w:hAnsi="仿宋_GB2312" w:cs="仿宋_GB2312"/>
          <w:kern w:val="0"/>
          <w:sz w:val="32"/>
          <w:szCs w:val="32"/>
          <w:highlight w:val="none"/>
          <w:lang w:val="en-US" w:eastAsia="zh-CN"/>
        </w:rPr>
        <w:t>以月为单位系统性提供整体维保服务工作资料，提供年度服务工作资料</w:t>
      </w:r>
      <w:r>
        <w:rPr>
          <w:rFonts w:hint="eastAsia" w:ascii="仿宋_GB2312" w:hAnsi="仿宋_GB2312" w:eastAsia="仿宋_GB2312" w:cs="仿宋_GB2312"/>
          <w:kern w:val="0"/>
          <w:sz w:val="32"/>
          <w:szCs w:val="32"/>
          <w:highlight w:val="none"/>
          <w:lang w:val="zh-CN" w:eastAsia="zh-CN"/>
        </w:rPr>
        <w:t>。</w:t>
      </w:r>
    </w:p>
    <w:p w14:paraId="45AC2CED">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1.2本项目须按</w:t>
      </w:r>
      <w:r>
        <w:rPr>
          <w:rFonts w:hint="eastAsia" w:ascii="仿宋_GB2312" w:hAnsi="仿宋_GB2312" w:eastAsia="仿宋_GB2312" w:cs="仿宋_GB2312"/>
          <w:kern w:val="0"/>
          <w:sz w:val="32"/>
          <w:szCs w:val="32"/>
          <w:highlight w:val="none"/>
          <w:lang w:val="zh-CN" w:eastAsia="zh-CN"/>
        </w:rPr>
        <w:t>国家法律法规、</w:t>
      </w:r>
      <w:r>
        <w:rPr>
          <w:rFonts w:hint="eastAsia" w:ascii="仿宋_GB2312" w:hAnsi="仿宋_GB2312" w:cs="仿宋_GB2312"/>
          <w:kern w:val="0"/>
          <w:sz w:val="32"/>
          <w:szCs w:val="32"/>
          <w:highlight w:val="none"/>
          <w:lang w:val="zh-CN" w:eastAsia="zh-CN"/>
        </w:rPr>
        <w:t>行业</w:t>
      </w:r>
      <w:r>
        <w:rPr>
          <w:rFonts w:hint="eastAsia" w:ascii="仿宋_GB2312" w:hAnsi="仿宋_GB2312" w:eastAsia="仿宋_GB2312" w:cs="仿宋_GB2312"/>
          <w:kern w:val="0"/>
          <w:sz w:val="32"/>
          <w:szCs w:val="32"/>
          <w:highlight w:val="none"/>
          <w:lang w:val="zh-CN" w:eastAsia="zh-CN"/>
        </w:rPr>
        <w:t>标准及</w:t>
      </w:r>
      <w:r>
        <w:rPr>
          <w:rFonts w:hint="eastAsia" w:ascii="仿宋_GB2312" w:hAnsi="仿宋_GB2312" w:cs="仿宋_GB2312"/>
          <w:kern w:val="0"/>
          <w:sz w:val="32"/>
          <w:szCs w:val="32"/>
          <w:highlight w:val="none"/>
          <w:lang w:val="zh-CN" w:eastAsia="zh-CN"/>
        </w:rPr>
        <w:t>相应</w:t>
      </w:r>
      <w:r>
        <w:rPr>
          <w:rFonts w:hint="eastAsia" w:ascii="仿宋_GB2312" w:hAnsi="仿宋_GB2312" w:eastAsia="仿宋_GB2312" w:cs="仿宋_GB2312"/>
          <w:kern w:val="0"/>
          <w:sz w:val="32"/>
          <w:szCs w:val="32"/>
          <w:highlight w:val="none"/>
          <w:lang w:val="zh-CN" w:eastAsia="zh-CN"/>
        </w:rPr>
        <w:t>规范要求</w:t>
      </w:r>
      <w:r>
        <w:rPr>
          <w:rFonts w:hint="eastAsia" w:ascii="仿宋_GB2312" w:hAnsi="仿宋_GB2312" w:cs="仿宋_GB2312"/>
          <w:kern w:val="0"/>
          <w:sz w:val="32"/>
          <w:szCs w:val="32"/>
          <w:highlight w:val="none"/>
          <w:lang w:val="zh-CN" w:eastAsia="zh-CN"/>
        </w:rPr>
        <w:t>完成</w:t>
      </w:r>
      <w:bookmarkStart w:id="0" w:name="OLE_LINK2"/>
      <w:r>
        <w:rPr>
          <w:rFonts w:hint="eastAsia" w:ascii="仿宋_GB2312" w:hAnsi="仿宋_GB2312" w:cs="仿宋_GB2312"/>
          <w:kern w:val="0"/>
          <w:sz w:val="32"/>
          <w:szCs w:val="32"/>
          <w:highlight w:val="none"/>
          <w:lang w:val="en-US" w:eastAsia="zh-CN"/>
        </w:rPr>
        <w:t>安防系统</w:t>
      </w:r>
      <w:bookmarkEnd w:id="0"/>
      <w:r>
        <w:rPr>
          <w:rFonts w:hint="eastAsia" w:ascii="仿宋_GB2312" w:hAnsi="仿宋_GB2312" w:eastAsia="仿宋_GB2312" w:cs="仿宋_GB2312"/>
          <w:kern w:val="0"/>
          <w:sz w:val="32"/>
          <w:szCs w:val="32"/>
          <w:highlight w:val="none"/>
          <w:lang w:val="zh-CN" w:eastAsia="zh-CN"/>
        </w:rPr>
        <w:t>维保</w:t>
      </w:r>
      <w:r>
        <w:rPr>
          <w:rFonts w:hint="eastAsia" w:ascii="仿宋_GB2312" w:hAnsi="仿宋_GB2312" w:cs="仿宋_GB2312"/>
          <w:kern w:val="0"/>
          <w:sz w:val="32"/>
          <w:szCs w:val="32"/>
          <w:highlight w:val="none"/>
          <w:lang w:val="zh-CN" w:eastAsia="zh-CN"/>
        </w:rPr>
        <w:t>服务，</w:t>
      </w:r>
      <w:r>
        <w:rPr>
          <w:rFonts w:hint="eastAsia" w:ascii="仿宋_GB2312" w:hAnsi="仿宋_GB2312" w:cs="仿宋_GB2312"/>
          <w:kern w:val="0"/>
          <w:sz w:val="32"/>
          <w:szCs w:val="32"/>
          <w:highlight w:val="none"/>
          <w:lang w:val="en-US" w:eastAsia="zh-CN"/>
        </w:rPr>
        <w:t>确保对应安防系统设施设备良好有效运行。开展定期巡查、测试、保养、调试、基础维修调整等，开展本项目工作所需要的工器具</w:t>
      </w:r>
      <w:r>
        <w:rPr>
          <w:rFonts w:hint="eastAsia" w:ascii="仿宋_GB2312" w:hAnsi="仿宋_GB2312" w:cs="仿宋_GB2312"/>
          <w:color w:val="auto"/>
          <w:kern w:val="0"/>
          <w:sz w:val="32"/>
          <w:szCs w:val="32"/>
          <w:highlight w:val="none"/>
          <w:lang w:val="en-US" w:eastAsia="zh-CN"/>
        </w:rPr>
        <w:t>（含登高设备、人身安全防护装备）</w:t>
      </w:r>
      <w:r>
        <w:rPr>
          <w:rFonts w:hint="eastAsia" w:ascii="仿宋_GB2312" w:hAnsi="仿宋_GB2312" w:cs="仿宋_GB2312"/>
          <w:kern w:val="0"/>
          <w:sz w:val="32"/>
          <w:szCs w:val="32"/>
          <w:highlight w:val="none"/>
          <w:lang w:val="en-US" w:eastAsia="zh-CN"/>
        </w:rPr>
        <w:t>、辅材由供应商提供。</w:t>
      </w:r>
    </w:p>
    <w:p w14:paraId="2AEF86C1">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1.3本项目须按要求完成安防系统设备的现场更换、安防设备维修调整工作，包含如：</w:t>
      </w:r>
      <w:r>
        <w:rPr>
          <w:rFonts w:hint="eastAsia" w:ascii="仿宋_GB2312" w:hAnsi="仿宋_GB2312" w:cs="仿宋_GB2312"/>
          <w:color w:val="auto"/>
          <w:kern w:val="0"/>
          <w:sz w:val="32"/>
          <w:szCs w:val="32"/>
          <w:highlight w:val="none"/>
          <w:lang w:val="en-US" w:eastAsia="zh-CN"/>
        </w:rPr>
        <w:t>调试、拆装、迁移等。</w:t>
      </w:r>
      <w:r>
        <w:rPr>
          <w:rFonts w:hint="eastAsia" w:ascii="仿宋_GB2312" w:hAnsi="仿宋_GB2312" w:cs="仿宋_GB2312"/>
          <w:kern w:val="0"/>
          <w:sz w:val="32"/>
          <w:szCs w:val="32"/>
          <w:highlight w:val="none"/>
          <w:lang w:val="en-US" w:eastAsia="zh-CN"/>
        </w:rPr>
        <w:t>安防器材更换和安防设备维修所需的安防器材、备品备件由采购人根据实际情况提供。</w:t>
      </w:r>
    </w:p>
    <w:p w14:paraId="037CA74B">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1.4本项目须按要求完成安防系统相关标识的制作、更新和张贴工作，各类设备设施标识、铭牌、流程图等不少于300个，以实际需求为准。</w:t>
      </w:r>
    </w:p>
    <w:p w14:paraId="63571EA5">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1.5本项目须按需完成视频监控、门禁、“一键报警”、周界报警以及其他在监控室集中控制的安防系统设备的联动优化，如监控画面自动联动跳转、火警时对应门禁设备应解除等。</w:t>
      </w:r>
    </w:p>
    <w:p w14:paraId="76BAC0C6">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1.6本项目须根据实际情况，全面摸排并调整完成安防设备点位编号编码名称；制作全院区基础安防电子地图（2D），能通过电子地图对应明确位置，跳转到相应显示或操作。</w:t>
      </w:r>
    </w:p>
    <w:p w14:paraId="3CC11B40">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w:t>
      </w:r>
      <w:bookmarkStart w:id="1" w:name="OLE_LINK4"/>
      <w:r>
        <w:rPr>
          <w:rFonts w:hint="eastAsia" w:ascii="仿宋_GB2312" w:hAnsi="仿宋_GB2312" w:cs="仿宋_GB2312"/>
          <w:kern w:val="0"/>
          <w:sz w:val="32"/>
          <w:szCs w:val="32"/>
          <w:highlight w:val="none"/>
          <w:lang w:val="en-US" w:eastAsia="zh-CN"/>
        </w:rPr>
        <w:t>7本项目</w:t>
      </w:r>
      <w:bookmarkEnd w:id="1"/>
      <w:r>
        <w:rPr>
          <w:rFonts w:hint="eastAsia" w:ascii="仿宋_GB2312" w:hAnsi="仿宋_GB2312" w:cs="仿宋_GB2312"/>
          <w:kern w:val="0"/>
          <w:sz w:val="32"/>
          <w:szCs w:val="32"/>
          <w:highlight w:val="none"/>
          <w:lang w:val="en-US" w:eastAsia="zh-CN"/>
        </w:rPr>
        <w:t>须按实际调整“一键报警”系统分权限工作。须将无障碍卫生间</w:t>
      </w:r>
      <w:r>
        <w:rPr>
          <w:rFonts w:hint="eastAsia" w:ascii="仿宋_GB2312" w:hAnsi="仿宋_GB2312" w:cs="仿宋_GB2312"/>
          <w:color w:val="auto"/>
          <w:sz w:val="32"/>
          <w:szCs w:val="32"/>
          <w:highlight w:val="none"/>
          <w:lang w:val="en-US" w:eastAsia="zh-CN"/>
        </w:rPr>
        <w:t>救助</w:t>
      </w:r>
      <w:r>
        <w:rPr>
          <w:rFonts w:hint="eastAsia" w:ascii="仿宋_GB2312" w:hAnsi="仿宋_GB2312" w:cs="仿宋_GB2312"/>
          <w:kern w:val="0"/>
          <w:sz w:val="32"/>
          <w:szCs w:val="32"/>
          <w:highlight w:val="none"/>
          <w:lang w:val="en-US" w:eastAsia="zh-CN"/>
        </w:rPr>
        <w:t>一键呼叫设备与安全“一键报警”设备进行区分，实现分权限分别有效运行。</w:t>
      </w:r>
    </w:p>
    <w:p w14:paraId="1A00F266">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1.8本项目多院区的视频监控系统（含不同品牌和模式）须进行整合，实现统一有效管理，涉及到网络通讯费用、视频监控线路授权费用由供应商承担。</w:t>
      </w:r>
    </w:p>
    <w:p w14:paraId="6D203EA2">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i w:val="0"/>
          <w:iCs w:val="0"/>
          <w:caps w:val="0"/>
          <w:color w:val="000000"/>
          <w:spacing w:val="0"/>
          <w:sz w:val="32"/>
          <w:szCs w:val="32"/>
          <w:highlight w:val="none"/>
          <w:vertAlign w:val="baseline"/>
          <w:lang w:val="en-US" w:eastAsia="zh-CN"/>
        </w:rPr>
      </w:pPr>
      <w:r>
        <w:rPr>
          <w:rFonts w:hint="eastAsia" w:ascii="仿宋_GB2312" w:hAnsi="仿宋_GB2312" w:cs="仿宋_GB2312"/>
          <w:kern w:val="0"/>
          <w:sz w:val="32"/>
          <w:szCs w:val="32"/>
          <w:highlight w:val="none"/>
          <w:lang w:val="en-US" w:eastAsia="zh-CN"/>
        </w:rPr>
        <w:t>1.9</w:t>
      </w:r>
      <w:r>
        <w:rPr>
          <w:rFonts w:hint="eastAsia" w:ascii="仿宋_GB2312" w:hAnsi="仿宋_GB2312" w:cs="仿宋_GB2312"/>
          <w:i w:val="0"/>
          <w:iCs w:val="0"/>
          <w:caps w:val="0"/>
          <w:color w:val="000000"/>
          <w:spacing w:val="0"/>
          <w:sz w:val="32"/>
          <w:szCs w:val="32"/>
          <w:highlight w:val="none"/>
          <w:vertAlign w:val="baseline"/>
          <w:lang w:val="en-US" w:eastAsia="zh-CN"/>
        </w:rPr>
        <w:t>响应及时完成采购人安全管理相关的维修维护、检查、问题整改、应急响应、培训演练等工作内容。</w:t>
      </w:r>
    </w:p>
    <w:p w14:paraId="2B7F7751">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i w:val="0"/>
          <w:iCs w:val="0"/>
          <w:caps w:val="0"/>
          <w:color w:val="000000"/>
          <w:spacing w:val="0"/>
          <w:sz w:val="32"/>
          <w:szCs w:val="32"/>
          <w:highlight w:val="none"/>
          <w:vertAlign w:val="baseline"/>
          <w:lang w:val="en-US" w:eastAsia="zh-CN"/>
        </w:rPr>
        <w:t>1.10</w:t>
      </w:r>
      <w:r>
        <w:rPr>
          <w:rFonts w:hint="eastAsia" w:ascii="仿宋_GB2312" w:hAnsi="仿宋_GB2312" w:cs="仿宋_GB2312"/>
          <w:kern w:val="0"/>
          <w:sz w:val="32"/>
          <w:szCs w:val="32"/>
          <w:highlight w:val="none"/>
          <w:lang w:val="en-US" w:eastAsia="zh-CN"/>
        </w:rPr>
        <w:t>本项目应根据实际提供满足多院区安防系统整合优化使用的电脑设备（不低于4台供运行使用，产权归供应商）等。</w:t>
      </w:r>
    </w:p>
    <w:p w14:paraId="22CB7D17">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1.11上述所涉及的软硬件的调整、改编等产生的知识产权归医院，供应商应保密，不得拷贝、锁定、留存、携带，不得加密，不得留有操作“后门”或其他远程操作权限。</w:t>
      </w:r>
    </w:p>
    <w:p w14:paraId="1B366E73">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eastAsia"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1.12配合采购人完成其他相关工作内容。</w:t>
      </w:r>
    </w:p>
    <w:p w14:paraId="1F29AA75">
      <w:pPr>
        <w:pStyle w:val="6"/>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jc w:val="both"/>
        <w:textAlignment w:val="baseline"/>
        <w:rPr>
          <w:rFonts w:hint="eastAsia" w:ascii="黑体" w:hAnsi="黑体" w:eastAsia="黑体" w:cs="黑体"/>
          <w:b/>
          <w:bCs/>
          <w:kern w:val="0"/>
          <w:sz w:val="32"/>
          <w:szCs w:val="32"/>
          <w:highlight w:val="none"/>
          <w:lang w:val="en-US" w:eastAsia="zh-CN"/>
        </w:rPr>
      </w:pPr>
      <w:r>
        <w:rPr>
          <w:rFonts w:hint="eastAsia" w:ascii="黑体" w:hAnsi="黑体" w:eastAsia="黑体" w:cs="黑体"/>
          <w:b/>
          <w:bCs/>
          <w:kern w:val="0"/>
          <w:sz w:val="32"/>
          <w:szCs w:val="32"/>
          <w:highlight w:val="none"/>
          <w:lang w:val="en-US" w:eastAsia="zh-CN"/>
        </w:rPr>
        <w:t>服务响应要求</w:t>
      </w:r>
    </w:p>
    <w:p w14:paraId="50E42FE0">
      <w:pPr>
        <w:keepNext w:val="0"/>
        <w:keepLines w:val="0"/>
        <w:pageBreakBefore w:val="0"/>
        <w:widowControl w:val="0"/>
        <w:tabs>
          <w:tab w:val="left" w:pos="7665"/>
        </w:tabs>
        <w:kinsoku/>
        <w:wordWrap/>
        <w:overflowPunct/>
        <w:topLinePunct w:val="0"/>
        <w:bidi w:val="0"/>
        <w:adjustRightInd w:val="0"/>
        <w:snapToGrid w:val="0"/>
        <w:spacing w:line="560" w:lineRule="exact"/>
        <w:ind w:firstLine="640" w:firstLineChars="200"/>
        <w:jc w:val="both"/>
        <w:textAlignment w:val="baseline"/>
        <w:rPr>
          <w:rFonts w:hint="default" w:ascii="仿宋_GB2312" w:hAnsi="仿宋_GB2312" w:cs="仿宋_GB2312"/>
          <w:kern w:val="0"/>
          <w:sz w:val="32"/>
          <w:szCs w:val="32"/>
          <w:highlight w:val="none"/>
          <w:lang w:val="en-US" w:eastAsia="zh-CN"/>
        </w:rPr>
      </w:pPr>
      <w:r>
        <w:rPr>
          <w:rFonts w:hint="default" w:ascii="仿宋_GB2312" w:hAnsi="仿宋_GB2312" w:cs="仿宋_GB2312"/>
          <w:kern w:val="0"/>
          <w:sz w:val="32"/>
          <w:szCs w:val="32"/>
          <w:highlight w:val="none"/>
          <w:lang w:val="en-US" w:eastAsia="zh-CN"/>
        </w:rPr>
        <w:t>1</w:t>
      </w:r>
      <w:r>
        <w:rPr>
          <w:rFonts w:hint="eastAsia" w:ascii="仿宋_GB2312" w:hAnsi="仿宋_GB2312" w:cs="仿宋_GB2312"/>
          <w:kern w:val="0"/>
          <w:sz w:val="32"/>
          <w:szCs w:val="32"/>
          <w:highlight w:val="none"/>
          <w:lang w:val="en-US" w:eastAsia="zh-CN"/>
        </w:rPr>
        <w:t>.至少2名</w:t>
      </w:r>
      <w:r>
        <w:rPr>
          <w:rFonts w:hint="eastAsia" w:ascii="仿宋_GB2312" w:hAnsi="仿宋_GB2312" w:cs="仿宋_GB2312"/>
          <w:color w:val="auto"/>
          <w:kern w:val="0"/>
          <w:sz w:val="32"/>
          <w:szCs w:val="32"/>
          <w:highlight w:val="none"/>
          <w:lang w:val="en-US" w:eastAsia="zh-CN"/>
        </w:rPr>
        <w:t>‌人员驻场进行常态化维保服务，驻场时间为：工作日08:00-17:30，其他时段半小时内到场响应，</w:t>
      </w:r>
      <w:r>
        <w:rPr>
          <w:rFonts w:hint="default" w:ascii="仿宋_GB2312" w:hAnsi="仿宋_GB2312" w:cs="仿宋_GB2312"/>
          <w:kern w:val="0"/>
          <w:sz w:val="32"/>
          <w:szCs w:val="32"/>
          <w:highlight w:val="none"/>
          <w:lang w:val="en-US" w:eastAsia="zh-CN"/>
        </w:rPr>
        <w:t>24小时</w:t>
      </w:r>
      <w:r>
        <w:rPr>
          <w:rFonts w:hint="eastAsia" w:ascii="仿宋_GB2312" w:hAnsi="仿宋_GB2312" w:cs="仿宋_GB2312"/>
          <w:kern w:val="0"/>
          <w:sz w:val="32"/>
          <w:szCs w:val="32"/>
          <w:highlight w:val="none"/>
          <w:lang w:val="en-US" w:eastAsia="zh-CN"/>
        </w:rPr>
        <w:t>专人</w:t>
      </w:r>
      <w:r>
        <w:rPr>
          <w:rFonts w:hint="default" w:ascii="仿宋_GB2312" w:hAnsi="仿宋_GB2312" w:cs="仿宋_GB2312"/>
          <w:kern w:val="0"/>
          <w:sz w:val="32"/>
          <w:szCs w:val="32"/>
          <w:highlight w:val="none"/>
          <w:lang w:val="en-US" w:eastAsia="zh-CN"/>
        </w:rPr>
        <w:t>接听电话</w:t>
      </w:r>
      <w:r>
        <w:rPr>
          <w:rFonts w:hint="eastAsia" w:ascii="仿宋_GB2312" w:hAnsi="仿宋_GB2312" w:cs="仿宋_GB2312"/>
          <w:kern w:val="0"/>
          <w:sz w:val="32"/>
          <w:szCs w:val="32"/>
          <w:highlight w:val="none"/>
          <w:lang w:val="en-US" w:eastAsia="zh-CN"/>
        </w:rPr>
        <w:t>响应服务</w:t>
      </w:r>
      <w:r>
        <w:rPr>
          <w:rFonts w:hint="eastAsia" w:ascii="仿宋_GB2312" w:hAnsi="仿宋_GB2312" w:cs="仿宋_GB2312"/>
          <w:color w:val="auto"/>
          <w:kern w:val="0"/>
          <w:sz w:val="32"/>
          <w:szCs w:val="32"/>
          <w:highlight w:val="none"/>
          <w:lang w:val="en-US" w:eastAsia="zh-CN"/>
        </w:rPr>
        <w:t>。涉及动火作业、高空作业的应配置持证安全员及相关特种作业持证人员。。</w:t>
      </w:r>
    </w:p>
    <w:p w14:paraId="24CFB4ED">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default" w:ascii="仿宋_GB2312" w:hAnsi="仿宋_GB2312" w:cs="仿宋_GB2312"/>
          <w:kern w:val="0"/>
          <w:sz w:val="32"/>
          <w:szCs w:val="32"/>
          <w:highlight w:val="none"/>
          <w:lang w:val="en-US" w:eastAsia="zh-CN"/>
        </w:rPr>
      </w:pPr>
      <w:r>
        <w:rPr>
          <w:rFonts w:hint="default" w:ascii="仿宋_GB2312" w:hAnsi="仿宋_GB2312" w:cs="仿宋_GB2312"/>
          <w:kern w:val="0"/>
          <w:sz w:val="32"/>
          <w:szCs w:val="32"/>
          <w:highlight w:val="none"/>
          <w:lang w:val="en-US" w:eastAsia="zh-CN"/>
        </w:rPr>
        <w:t>2</w:t>
      </w:r>
      <w:r>
        <w:rPr>
          <w:rFonts w:hint="eastAsia" w:ascii="仿宋_GB2312" w:hAnsi="仿宋_GB2312" w:cs="仿宋_GB2312"/>
          <w:kern w:val="0"/>
          <w:sz w:val="32"/>
          <w:szCs w:val="32"/>
          <w:highlight w:val="none"/>
          <w:lang w:val="en-US" w:eastAsia="zh-CN"/>
        </w:rPr>
        <w:t>.</w:t>
      </w:r>
      <w:r>
        <w:rPr>
          <w:rFonts w:hint="default" w:ascii="仿宋_GB2312" w:hAnsi="仿宋_GB2312" w:cs="仿宋_GB2312"/>
          <w:kern w:val="0"/>
          <w:sz w:val="32"/>
          <w:szCs w:val="32"/>
          <w:highlight w:val="none"/>
          <w:lang w:val="en-US" w:eastAsia="zh-CN"/>
        </w:rPr>
        <w:t>供应商对所有维护设</w:t>
      </w:r>
      <w:bookmarkStart w:id="2" w:name="_GoBack"/>
      <w:bookmarkEnd w:id="2"/>
      <w:r>
        <w:rPr>
          <w:rFonts w:hint="default" w:ascii="仿宋_GB2312" w:hAnsi="仿宋_GB2312" w:cs="仿宋_GB2312"/>
          <w:kern w:val="0"/>
          <w:sz w:val="32"/>
          <w:szCs w:val="32"/>
          <w:highlight w:val="none"/>
          <w:lang w:val="en-US" w:eastAsia="zh-CN"/>
        </w:rPr>
        <w:t>备</w:t>
      </w:r>
      <w:r>
        <w:rPr>
          <w:rFonts w:hint="eastAsia" w:ascii="仿宋_GB2312" w:hAnsi="仿宋_GB2312" w:cs="仿宋_GB2312"/>
          <w:kern w:val="0"/>
          <w:sz w:val="32"/>
          <w:szCs w:val="32"/>
          <w:highlight w:val="none"/>
          <w:lang w:val="en-US" w:eastAsia="zh-CN"/>
        </w:rPr>
        <w:t>系统保障</w:t>
      </w:r>
      <w:r>
        <w:rPr>
          <w:rFonts w:hint="default" w:ascii="仿宋_GB2312" w:hAnsi="仿宋_GB2312" w:cs="仿宋_GB2312"/>
          <w:kern w:val="0"/>
          <w:sz w:val="32"/>
          <w:szCs w:val="32"/>
          <w:highlight w:val="none"/>
          <w:lang w:val="en-US" w:eastAsia="zh-CN"/>
        </w:rPr>
        <w:t>24小时正常运行，设备出现故障及时维修。</w:t>
      </w:r>
    </w:p>
    <w:p w14:paraId="3971A62B">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default" w:ascii="仿宋_GB2312" w:hAnsi="仿宋_GB2312" w:cs="仿宋_GB2312"/>
          <w:kern w:val="0"/>
          <w:sz w:val="32"/>
          <w:szCs w:val="32"/>
          <w:highlight w:val="none"/>
          <w:lang w:val="en-US" w:eastAsia="zh-CN"/>
        </w:rPr>
      </w:pPr>
      <w:r>
        <w:rPr>
          <w:rFonts w:hint="default" w:ascii="仿宋_GB2312" w:hAnsi="仿宋_GB2312" w:cs="仿宋_GB2312"/>
          <w:kern w:val="0"/>
          <w:sz w:val="32"/>
          <w:szCs w:val="32"/>
          <w:highlight w:val="none"/>
          <w:lang w:val="en-US" w:eastAsia="zh-CN"/>
        </w:rPr>
        <w:t>故障修复时间：</w:t>
      </w:r>
    </w:p>
    <w:p w14:paraId="2E89257C">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2.1</w:t>
      </w:r>
      <w:r>
        <w:rPr>
          <w:rFonts w:hint="default" w:ascii="仿宋_GB2312" w:hAnsi="仿宋_GB2312" w:cs="仿宋_GB2312"/>
          <w:kern w:val="0"/>
          <w:sz w:val="32"/>
          <w:szCs w:val="32"/>
          <w:highlight w:val="none"/>
          <w:lang w:val="en-US" w:eastAsia="zh-CN"/>
        </w:rPr>
        <w:t>一般故障：（不更换零件、系统不重装）≤1小时；</w:t>
      </w:r>
    </w:p>
    <w:p w14:paraId="77F2A822">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2.2</w:t>
      </w:r>
      <w:r>
        <w:rPr>
          <w:rFonts w:hint="default" w:ascii="仿宋_GB2312" w:hAnsi="仿宋_GB2312" w:cs="仿宋_GB2312"/>
          <w:kern w:val="0"/>
          <w:sz w:val="32"/>
          <w:szCs w:val="32"/>
          <w:highlight w:val="none"/>
          <w:lang w:val="en-US" w:eastAsia="zh-CN"/>
        </w:rPr>
        <w:t>更换零件、系统重装：≤24小时；</w:t>
      </w:r>
    </w:p>
    <w:p w14:paraId="0E1A4288">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2.3</w:t>
      </w:r>
      <w:r>
        <w:rPr>
          <w:rFonts w:hint="default" w:ascii="仿宋_GB2312" w:hAnsi="仿宋_GB2312" w:cs="仿宋_GB2312"/>
          <w:kern w:val="0"/>
          <w:sz w:val="32"/>
          <w:szCs w:val="32"/>
          <w:highlight w:val="none"/>
          <w:lang w:val="en-US" w:eastAsia="zh-CN"/>
        </w:rPr>
        <w:t>离场维修：≤48小时。</w:t>
      </w:r>
    </w:p>
    <w:p w14:paraId="284E5508">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3.</w:t>
      </w:r>
      <w:r>
        <w:rPr>
          <w:rFonts w:hint="default" w:ascii="仿宋_GB2312" w:hAnsi="仿宋_GB2312" w:cs="仿宋_GB2312"/>
          <w:kern w:val="0"/>
          <w:sz w:val="32"/>
          <w:szCs w:val="32"/>
          <w:highlight w:val="none"/>
          <w:lang w:val="en-US" w:eastAsia="zh-CN"/>
        </w:rPr>
        <w:t>对在现场不能修复的设备，供应商可以运回公司进行修理，即离场维修，同时应提供性能不低于离场维修设备且兼容的替代设备供</w:t>
      </w:r>
      <w:r>
        <w:rPr>
          <w:rFonts w:hint="eastAsia" w:ascii="仿宋_GB2312" w:hAnsi="仿宋_GB2312" w:cs="仿宋_GB2312"/>
          <w:kern w:val="0"/>
          <w:sz w:val="32"/>
          <w:szCs w:val="32"/>
          <w:highlight w:val="none"/>
          <w:lang w:val="en-US" w:eastAsia="zh-CN"/>
        </w:rPr>
        <w:t>正常</w:t>
      </w:r>
      <w:r>
        <w:rPr>
          <w:rFonts w:hint="default" w:ascii="仿宋_GB2312" w:hAnsi="仿宋_GB2312" w:cs="仿宋_GB2312"/>
          <w:kern w:val="0"/>
          <w:sz w:val="32"/>
          <w:szCs w:val="32"/>
          <w:highlight w:val="none"/>
          <w:lang w:val="en-US" w:eastAsia="zh-CN"/>
        </w:rPr>
        <w:t>使用。</w:t>
      </w:r>
    </w:p>
    <w:p w14:paraId="00A26896">
      <w:pPr>
        <w:pStyle w:val="6"/>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jc w:val="both"/>
        <w:textAlignment w:val="baseline"/>
        <w:rPr>
          <w:rFonts w:hint="eastAsia" w:ascii="黑体" w:hAnsi="黑体" w:eastAsia="黑体" w:cs="黑体"/>
          <w:b/>
          <w:bCs/>
          <w:kern w:val="0"/>
          <w:sz w:val="32"/>
          <w:szCs w:val="32"/>
          <w:highlight w:val="none"/>
          <w:lang w:val="en-US" w:eastAsia="zh-CN"/>
        </w:rPr>
      </w:pPr>
      <w:r>
        <w:rPr>
          <w:rFonts w:hint="eastAsia" w:ascii="黑体" w:hAnsi="黑体" w:eastAsia="黑体" w:cs="黑体"/>
          <w:b/>
          <w:bCs/>
          <w:kern w:val="0"/>
          <w:sz w:val="32"/>
          <w:szCs w:val="32"/>
          <w:highlight w:val="none"/>
          <w:lang w:val="en-US" w:eastAsia="zh-CN"/>
        </w:rPr>
        <w:t>服务考核</w:t>
      </w:r>
    </w:p>
    <w:p w14:paraId="007E7007">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baseline"/>
        <w:rPr>
          <w:rFonts w:hint="default" w:ascii="仿宋_GB2312" w:hAnsi="仿宋_GB2312" w:cs="仿宋_GB2312"/>
          <w:kern w:val="0"/>
          <w:sz w:val="32"/>
          <w:szCs w:val="32"/>
          <w:highlight w:val="none"/>
          <w:lang w:val="en-US" w:eastAsia="zh-CN"/>
        </w:rPr>
      </w:pPr>
      <w:r>
        <w:rPr>
          <w:rFonts w:hint="eastAsia" w:ascii="仿宋_GB2312" w:hAnsi="仿宋_GB2312" w:cs="仿宋_GB2312"/>
          <w:kern w:val="0"/>
          <w:sz w:val="32"/>
          <w:szCs w:val="32"/>
          <w:highlight w:val="none"/>
          <w:lang w:val="en-US" w:eastAsia="zh-CN"/>
        </w:rPr>
        <w:t xml:space="preserve">    按月度、年度以及专项工作组织考核。考核实行100分制，90分以下为不合格。不合格将影响当期费用支付和合同续签，具体以后续正式招采公告为准。</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E01F5">
    <w:pPr>
      <w:pStyle w:val="4"/>
    </w:pPr>
    <w:r>
      <w:rPr>
        <w:sz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5A877">
                          <w:pPr>
                            <w:pStyle w:val="4"/>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w:t>
                          </w:r>
                          <w:r>
                            <w:rPr>
                              <w:rFonts w:hint="eastAsia" w:ascii="仿宋_GB2312" w:hAnsi="仿宋_GB2312" w:eastAsia="仿宋_GB2312" w:cs="仿宋_GB231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65A877">
                    <w:pPr>
                      <w:pStyle w:val="4"/>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w:t>
                    </w:r>
                    <w:r>
                      <w:rPr>
                        <w:rFonts w:hint="eastAsia" w:ascii="仿宋_GB2312" w:hAnsi="仿宋_GB2312" w:eastAsia="仿宋_GB2312" w:cs="仿宋_GB23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084DD"/>
    <w:multiLevelType w:val="singleLevel"/>
    <w:tmpl w:val="99A084DD"/>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hNzU0ZTQwYzQwZmY0MTM4NTgyZGNkYjJlMjYzMzgifQ=="/>
  </w:docVars>
  <w:rsids>
    <w:rsidRoot w:val="00000000"/>
    <w:rsid w:val="00F60E70"/>
    <w:rsid w:val="02753E85"/>
    <w:rsid w:val="031A6E39"/>
    <w:rsid w:val="04CF2676"/>
    <w:rsid w:val="052D6C99"/>
    <w:rsid w:val="05B85AEF"/>
    <w:rsid w:val="05FA6691"/>
    <w:rsid w:val="0DBA3094"/>
    <w:rsid w:val="16833A6F"/>
    <w:rsid w:val="180C6BE2"/>
    <w:rsid w:val="19273DC0"/>
    <w:rsid w:val="20767C31"/>
    <w:rsid w:val="217A4BBD"/>
    <w:rsid w:val="220A5F40"/>
    <w:rsid w:val="28696D2D"/>
    <w:rsid w:val="2D931379"/>
    <w:rsid w:val="2E7B1F74"/>
    <w:rsid w:val="2F104F93"/>
    <w:rsid w:val="30234671"/>
    <w:rsid w:val="31B13797"/>
    <w:rsid w:val="31EA40DF"/>
    <w:rsid w:val="326616F1"/>
    <w:rsid w:val="32CA1BE7"/>
    <w:rsid w:val="33582D87"/>
    <w:rsid w:val="33B9550C"/>
    <w:rsid w:val="33E51E55"/>
    <w:rsid w:val="37AE6F16"/>
    <w:rsid w:val="38A00F55"/>
    <w:rsid w:val="390A6409"/>
    <w:rsid w:val="3CB2337E"/>
    <w:rsid w:val="3E396EA2"/>
    <w:rsid w:val="42D75573"/>
    <w:rsid w:val="45176598"/>
    <w:rsid w:val="45A22C16"/>
    <w:rsid w:val="46A638F5"/>
    <w:rsid w:val="472052AE"/>
    <w:rsid w:val="48AA54D8"/>
    <w:rsid w:val="4B5E737C"/>
    <w:rsid w:val="50950AEC"/>
    <w:rsid w:val="53934DB4"/>
    <w:rsid w:val="572B3C88"/>
    <w:rsid w:val="594013EC"/>
    <w:rsid w:val="5B2D1660"/>
    <w:rsid w:val="5EFC207D"/>
    <w:rsid w:val="63D336DD"/>
    <w:rsid w:val="63D3458D"/>
    <w:rsid w:val="6DF36E56"/>
    <w:rsid w:val="6FA52FD7"/>
    <w:rsid w:val="72193743"/>
    <w:rsid w:val="7AB87881"/>
    <w:rsid w:val="7C3A20F4"/>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仿宋_GB2312" w:cs="仿宋_GB2312"/>
      <w:snapToGrid w:val="0"/>
      <w:color w:val="000000"/>
      <w:kern w:val="0"/>
      <w:sz w:val="32"/>
      <w:szCs w:val="32"/>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ind w:firstLine="0" w:firstLineChars="0"/>
      <w:jc w:val="center"/>
      <w:outlineLvl w:val="0"/>
    </w:pPr>
    <w:rPr>
      <w:rFonts w:eastAsia="方正小标宋简体"/>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rFonts w:ascii="+西文正文" w:hAnsi="+西文正文"/>
      <w:sz w:val="32"/>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1137</Words>
  <Characters>1193</Characters>
  <Lines>0</Lines>
  <Paragraphs>0</Paragraphs>
  <TotalTime>0</TotalTime>
  <ScaleCrop>false</ScaleCrop>
  <LinksUpToDate>false</LinksUpToDate>
  <CharactersWithSpaces>1197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2025-04-25T01:20:00Z</dcterms:created>
  <dc:creator>Administrator</dc:creator>
  <cp:lastModifiedBy>温九林</cp:lastModifiedBy>
  <dcterms:modified xsi:type="dcterms:W3CDTF">2026-06-10T07:14:22Z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ECDF4A21F078490689463011BAB8E9A2_12</vt:lpwstr>
  </property>
  <property fmtid="{D5CDD505-2E9C-101B-9397-08002B2CF9AE}" pid="4" name="KSOTemplateDocerSaveRecord">
    <vt:lpwstr>eyJoZGlkIjoiMDgwZGIxMTM1YjZmODg2OTkyZmMyNmQ0NDhjMWI0MWEiLCJ1c2VySWQiOiIxNDgxMDA1MzQ2In0=</vt:lpwstr>
  </property>
</Properties>
</file>